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310" w:rsidRPr="0012474A" w:rsidRDefault="001121DA" w:rsidP="00A41310">
      <w:pPr>
        <w:spacing w:line="240" w:lineRule="auto"/>
        <w:ind w:left="720" w:hanging="360"/>
        <w:jc w:val="center"/>
        <w:rPr>
          <w:b/>
          <w:sz w:val="28"/>
          <w:szCs w:val="28"/>
        </w:rPr>
      </w:pPr>
      <w:r>
        <w:rPr>
          <w:b/>
          <w:sz w:val="28"/>
          <w:szCs w:val="28"/>
        </w:rPr>
        <w:t>I</w:t>
      </w:r>
      <w:bookmarkStart w:id="0" w:name="_GoBack"/>
      <w:bookmarkEnd w:id="0"/>
      <w:r w:rsidR="00A41310" w:rsidRPr="0012474A">
        <w:rPr>
          <w:b/>
          <w:sz w:val="28"/>
          <w:szCs w:val="28"/>
        </w:rPr>
        <w:t>ncrease</w:t>
      </w:r>
      <w:r w:rsidR="00CF435E" w:rsidRPr="0012474A">
        <w:rPr>
          <w:b/>
          <w:sz w:val="28"/>
          <w:szCs w:val="28"/>
        </w:rPr>
        <w:t>s</w:t>
      </w:r>
      <w:r w:rsidR="00A41310" w:rsidRPr="0012474A">
        <w:rPr>
          <w:b/>
          <w:sz w:val="28"/>
          <w:szCs w:val="28"/>
        </w:rPr>
        <w:t xml:space="preserve"> to </w:t>
      </w:r>
      <w:r w:rsidR="00A92277" w:rsidRPr="0012474A">
        <w:rPr>
          <w:b/>
          <w:sz w:val="28"/>
          <w:szCs w:val="28"/>
        </w:rPr>
        <w:t>caregiver</w:t>
      </w:r>
      <w:r w:rsidR="00A41310" w:rsidRPr="0012474A">
        <w:rPr>
          <w:b/>
          <w:sz w:val="28"/>
          <w:szCs w:val="28"/>
        </w:rPr>
        <w:t xml:space="preserve"> rates effective 1</w:t>
      </w:r>
      <w:r w:rsidR="00A41310" w:rsidRPr="0012474A">
        <w:rPr>
          <w:b/>
          <w:sz w:val="28"/>
          <w:szCs w:val="28"/>
          <w:vertAlign w:val="superscript"/>
        </w:rPr>
        <w:t>st</w:t>
      </w:r>
      <w:r w:rsidR="00A41310" w:rsidRPr="0012474A">
        <w:rPr>
          <w:b/>
          <w:sz w:val="28"/>
          <w:szCs w:val="28"/>
        </w:rPr>
        <w:t xml:space="preserve"> April 2019.</w:t>
      </w:r>
    </w:p>
    <w:p w:rsidR="00A41310" w:rsidRPr="003B319C" w:rsidRDefault="00E01B51" w:rsidP="00EA4E7A">
      <w:pPr>
        <w:spacing w:after="0" w:line="240" w:lineRule="auto"/>
        <w:rPr>
          <w:b/>
          <w:sz w:val="24"/>
          <w:szCs w:val="24"/>
          <w:shd w:val="clear" w:color="auto" w:fill="FFFFFF"/>
        </w:rPr>
      </w:pPr>
      <w:r w:rsidRPr="003B319C">
        <w:rPr>
          <w:b/>
          <w:sz w:val="24"/>
          <w:szCs w:val="24"/>
          <w:shd w:val="clear" w:color="auto" w:fill="FFFFFF"/>
        </w:rPr>
        <w:t>Overview of changes</w:t>
      </w:r>
    </w:p>
    <w:p w:rsidR="003B4502" w:rsidRPr="0012474A" w:rsidRDefault="00CF435E" w:rsidP="0012474A">
      <w:pPr>
        <w:pStyle w:val="BriefingNotes"/>
        <w:outlineLvl w:val="0"/>
        <w:rPr>
          <w:rFonts w:asciiTheme="minorHAnsi" w:hAnsiTheme="minorHAnsi" w:cstheme="minorHAnsi"/>
          <w:noProof w:val="0"/>
          <w:szCs w:val="24"/>
        </w:rPr>
      </w:pPr>
      <w:r w:rsidRPr="0012474A">
        <w:rPr>
          <w:rFonts w:asciiTheme="minorHAnsi" w:hAnsiTheme="minorHAnsi" w:cstheme="minorHAnsi"/>
          <w:shd w:val="clear" w:color="auto" w:fill="FFFFFF"/>
        </w:rPr>
        <w:t>E</w:t>
      </w:r>
      <w:r w:rsidR="00A41310" w:rsidRPr="0012474A">
        <w:rPr>
          <w:rFonts w:asciiTheme="minorHAnsi" w:hAnsiTheme="minorHAnsi" w:cstheme="minorHAnsi"/>
          <w:shd w:val="clear" w:color="auto" w:fill="FFFFFF"/>
        </w:rPr>
        <w:t xml:space="preserve">ffective April 1, 2019, </w:t>
      </w:r>
      <w:r w:rsidRPr="0012474A">
        <w:rPr>
          <w:rFonts w:asciiTheme="minorHAnsi" w:hAnsiTheme="minorHAnsi" w:cstheme="minorHAnsi"/>
          <w:shd w:val="clear" w:color="auto" w:fill="FFFFFF"/>
        </w:rPr>
        <w:t xml:space="preserve">the BC government has </w:t>
      </w:r>
      <w:r w:rsidR="00A41310" w:rsidRPr="0012474A">
        <w:rPr>
          <w:rFonts w:asciiTheme="minorHAnsi" w:hAnsiTheme="minorHAnsi" w:cstheme="minorHAnsi"/>
          <w:shd w:val="clear" w:color="auto" w:fill="FFFFFF"/>
        </w:rPr>
        <w:t>increase</w:t>
      </w:r>
      <w:r w:rsidRPr="0012474A">
        <w:rPr>
          <w:rFonts w:asciiTheme="minorHAnsi" w:hAnsiTheme="minorHAnsi" w:cstheme="minorHAnsi"/>
          <w:shd w:val="clear" w:color="auto" w:fill="FFFFFF"/>
        </w:rPr>
        <w:t xml:space="preserve">d </w:t>
      </w:r>
      <w:r w:rsidR="00A41310" w:rsidRPr="0012474A">
        <w:rPr>
          <w:rFonts w:asciiTheme="minorHAnsi" w:hAnsiTheme="minorHAnsi" w:cstheme="minorHAnsi"/>
          <w:shd w:val="clear" w:color="auto" w:fill="FFFFFF"/>
        </w:rPr>
        <w:t xml:space="preserve">the basic family care </w:t>
      </w:r>
      <w:r w:rsidR="00001F2B" w:rsidRPr="0012474A">
        <w:rPr>
          <w:rFonts w:asciiTheme="minorHAnsi" w:hAnsiTheme="minorHAnsi" w:cstheme="minorHAnsi"/>
          <w:shd w:val="clear" w:color="auto" w:fill="FFFFFF"/>
        </w:rPr>
        <w:t xml:space="preserve">(maintenance) </w:t>
      </w:r>
      <w:r w:rsidR="0012474A" w:rsidRPr="0012474A">
        <w:rPr>
          <w:rFonts w:asciiTheme="minorHAnsi" w:hAnsiTheme="minorHAnsi" w:cstheme="minorHAnsi"/>
          <w:shd w:val="clear" w:color="auto" w:fill="FFFFFF"/>
        </w:rPr>
        <w:t xml:space="preserve">rate </w:t>
      </w:r>
      <w:r w:rsidR="003B4502" w:rsidRPr="0012474A">
        <w:rPr>
          <w:rFonts w:asciiTheme="minorHAnsi" w:hAnsiTheme="minorHAnsi" w:cstheme="minorHAnsi"/>
          <w:shd w:val="clear" w:color="auto" w:fill="FFFFFF"/>
        </w:rPr>
        <w:t>for children and youth that are cared for by a family based caregiver.  This includes:</w:t>
      </w:r>
    </w:p>
    <w:p w:rsidR="00A92277" w:rsidRPr="0012474A" w:rsidRDefault="00A41310" w:rsidP="0012474A">
      <w:pPr>
        <w:pStyle w:val="BriefingNotes"/>
        <w:numPr>
          <w:ilvl w:val="0"/>
          <w:numId w:val="4"/>
        </w:numPr>
        <w:outlineLvl w:val="0"/>
        <w:rPr>
          <w:rFonts w:asciiTheme="minorHAnsi" w:hAnsiTheme="minorHAnsi" w:cstheme="minorHAnsi"/>
          <w:shd w:val="clear" w:color="auto" w:fill="FFFFFF"/>
        </w:rPr>
      </w:pPr>
      <w:r w:rsidRPr="0012474A">
        <w:rPr>
          <w:rFonts w:asciiTheme="minorHAnsi" w:hAnsiTheme="minorHAnsi" w:cstheme="minorHAnsi"/>
          <w:shd w:val="clear" w:color="auto" w:fill="FFFFFF"/>
        </w:rPr>
        <w:t xml:space="preserve">all </w:t>
      </w:r>
      <w:r w:rsidR="003B4502" w:rsidRPr="0012474A">
        <w:rPr>
          <w:rFonts w:asciiTheme="minorHAnsi" w:hAnsiTheme="minorHAnsi" w:cstheme="minorHAnsi"/>
          <w:shd w:val="clear" w:color="auto" w:fill="FFFFFF"/>
        </w:rPr>
        <w:t xml:space="preserve">foster </w:t>
      </w:r>
      <w:r w:rsidRPr="0012474A">
        <w:rPr>
          <w:rFonts w:asciiTheme="minorHAnsi" w:hAnsiTheme="minorHAnsi" w:cstheme="minorHAnsi"/>
          <w:shd w:val="clear" w:color="auto" w:fill="FFFFFF"/>
        </w:rPr>
        <w:t>caregivers</w:t>
      </w:r>
      <w:r w:rsidR="00001F2B" w:rsidRPr="0012474A">
        <w:rPr>
          <w:rFonts w:asciiTheme="minorHAnsi" w:hAnsiTheme="minorHAnsi" w:cstheme="minorHAnsi"/>
          <w:shd w:val="clear" w:color="auto" w:fill="FFFFFF"/>
        </w:rPr>
        <w:t xml:space="preserve"> </w:t>
      </w:r>
      <w:r w:rsidR="003B4502" w:rsidRPr="0012474A">
        <w:rPr>
          <w:rFonts w:asciiTheme="minorHAnsi" w:hAnsiTheme="minorHAnsi" w:cstheme="minorHAnsi"/>
          <w:shd w:val="clear" w:color="auto" w:fill="FFFFFF"/>
        </w:rPr>
        <w:t xml:space="preserve">who look after </w:t>
      </w:r>
      <w:r w:rsidR="00A92277" w:rsidRPr="0012474A">
        <w:rPr>
          <w:rFonts w:asciiTheme="minorHAnsi" w:hAnsiTheme="minorHAnsi" w:cstheme="minorHAnsi"/>
          <w:shd w:val="clear" w:color="auto" w:fill="FFFFFF"/>
        </w:rPr>
        <w:t>children in the care of MCFD or a Delegated Aboriginal Agency,</w:t>
      </w:r>
    </w:p>
    <w:p w:rsidR="00A92277" w:rsidRPr="0012474A" w:rsidRDefault="00A92277" w:rsidP="0012474A">
      <w:pPr>
        <w:pStyle w:val="BriefingNotes"/>
        <w:numPr>
          <w:ilvl w:val="0"/>
          <w:numId w:val="4"/>
        </w:numPr>
        <w:outlineLvl w:val="0"/>
        <w:rPr>
          <w:rFonts w:asciiTheme="minorHAnsi" w:hAnsiTheme="minorHAnsi" w:cstheme="minorHAnsi"/>
          <w:shd w:val="clear" w:color="auto" w:fill="FFFFFF"/>
        </w:rPr>
      </w:pPr>
      <w:r w:rsidRPr="0012474A">
        <w:rPr>
          <w:rFonts w:asciiTheme="minorHAnsi" w:hAnsiTheme="minorHAnsi" w:cstheme="minorHAnsi"/>
          <w:shd w:val="clear" w:color="auto" w:fill="FFFFFF"/>
        </w:rPr>
        <w:t xml:space="preserve">all caregivers supported under the Extended Family Program, </w:t>
      </w:r>
    </w:p>
    <w:p w:rsidR="00624A8A" w:rsidRPr="0012474A" w:rsidRDefault="00624A8A" w:rsidP="0012474A">
      <w:pPr>
        <w:pStyle w:val="BriefingNotes"/>
        <w:numPr>
          <w:ilvl w:val="0"/>
          <w:numId w:val="4"/>
        </w:numPr>
        <w:outlineLvl w:val="0"/>
        <w:rPr>
          <w:rFonts w:asciiTheme="minorHAnsi" w:hAnsiTheme="minorHAnsi" w:cstheme="minorHAnsi"/>
          <w:shd w:val="clear" w:color="auto" w:fill="FFFFFF"/>
        </w:rPr>
      </w:pPr>
      <w:r w:rsidRPr="0012474A">
        <w:rPr>
          <w:rFonts w:asciiTheme="minorHAnsi" w:hAnsiTheme="minorHAnsi" w:cstheme="minorHAnsi"/>
          <w:shd w:val="clear" w:color="auto" w:fill="FFFFFF"/>
        </w:rPr>
        <w:t xml:space="preserve">all caregivers in receipt of </w:t>
      </w:r>
      <w:r w:rsidR="0012474A">
        <w:rPr>
          <w:rFonts w:asciiTheme="minorHAnsi" w:hAnsiTheme="minorHAnsi" w:cstheme="minorHAnsi"/>
          <w:shd w:val="clear" w:color="auto" w:fill="FFFFFF"/>
        </w:rPr>
        <w:t xml:space="preserve">support related to </w:t>
      </w:r>
      <w:r w:rsidR="003B4502" w:rsidRPr="0012474A">
        <w:rPr>
          <w:rFonts w:asciiTheme="minorHAnsi" w:hAnsiTheme="minorHAnsi" w:cstheme="minorHAnsi"/>
          <w:shd w:val="clear" w:color="auto" w:fill="FFFFFF"/>
        </w:rPr>
        <w:t>i</w:t>
      </w:r>
      <w:r w:rsidRPr="0012474A">
        <w:rPr>
          <w:rFonts w:asciiTheme="minorHAnsi" w:hAnsiTheme="minorHAnsi" w:cstheme="minorHAnsi"/>
          <w:shd w:val="clear" w:color="auto" w:fill="FFFFFF"/>
        </w:rPr>
        <w:t>nterim/</w:t>
      </w:r>
      <w:r w:rsidR="003B4502" w:rsidRPr="0012474A">
        <w:rPr>
          <w:rFonts w:asciiTheme="minorHAnsi" w:hAnsiTheme="minorHAnsi" w:cstheme="minorHAnsi"/>
          <w:shd w:val="clear" w:color="auto" w:fill="FFFFFF"/>
        </w:rPr>
        <w:t>t</w:t>
      </w:r>
      <w:r w:rsidRPr="0012474A">
        <w:rPr>
          <w:rFonts w:asciiTheme="minorHAnsi" w:hAnsiTheme="minorHAnsi" w:cstheme="minorHAnsi"/>
          <w:shd w:val="clear" w:color="auto" w:fill="FFFFFF"/>
        </w:rPr>
        <w:t xml:space="preserve">emporary </w:t>
      </w:r>
      <w:r w:rsidR="003B4502" w:rsidRPr="0012474A">
        <w:rPr>
          <w:rFonts w:asciiTheme="minorHAnsi" w:hAnsiTheme="minorHAnsi" w:cstheme="minorHAnsi"/>
          <w:shd w:val="clear" w:color="auto" w:fill="FFFFFF"/>
        </w:rPr>
        <w:t>c</w:t>
      </w:r>
      <w:r w:rsidRPr="0012474A">
        <w:rPr>
          <w:rFonts w:asciiTheme="minorHAnsi" w:hAnsiTheme="minorHAnsi" w:cstheme="minorHAnsi"/>
          <w:shd w:val="clear" w:color="auto" w:fill="FFFFFF"/>
        </w:rPr>
        <w:t xml:space="preserve">ustody or </w:t>
      </w:r>
      <w:r w:rsidR="0012474A">
        <w:rPr>
          <w:rFonts w:asciiTheme="minorHAnsi" w:hAnsiTheme="minorHAnsi" w:cstheme="minorHAnsi"/>
          <w:shd w:val="clear" w:color="auto" w:fill="FFFFFF"/>
        </w:rPr>
        <w:t xml:space="preserve">a </w:t>
      </w:r>
      <w:r w:rsidR="003B4502" w:rsidRPr="0012474A">
        <w:rPr>
          <w:rFonts w:asciiTheme="minorHAnsi" w:hAnsiTheme="minorHAnsi" w:cstheme="minorHAnsi"/>
          <w:shd w:val="clear" w:color="auto" w:fill="FFFFFF"/>
        </w:rPr>
        <w:t>p</w:t>
      </w:r>
      <w:r w:rsidRPr="0012474A">
        <w:rPr>
          <w:rFonts w:asciiTheme="minorHAnsi" w:hAnsiTheme="minorHAnsi" w:cstheme="minorHAnsi"/>
          <w:shd w:val="clear" w:color="auto" w:fill="FFFFFF"/>
        </w:rPr>
        <w:t xml:space="preserve">ermanent </w:t>
      </w:r>
      <w:r w:rsidR="003B4502" w:rsidRPr="0012474A">
        <w:rPr>
          <w:rFonts w:asciiTheme="minorHAnsi" w:hAnsiTheme="minorHAnsi" w:cstheme="minorHAnsi"/>
          <w:shd w:val="clear" w:color="auto" w:fill="FFFFFF"/>
        </w:rPr>
        <w:t>transfer of c</w:t>
      </w:r>
      <w:r w:rsidRPr="0012474A">
        <w:rPr>
          <w:rFonts w:asciiTheme="minorHAnsi" w:hAnsiTheme="minorHAnsi" w:cstheme="minorHAnsi"/>
          <w:shd w:val="clear" w:color="auto" w:fill="FFFFFF"/>
        </w:rPr>
        <w:t xml:space="preserve">ustody, </w:t>
      </w:r>
      <w:r w:rsidR="0012474A">
        <w:rPr>
          <w:rFonts w:asciiTheme="minorHAnsi" w:hAnsiTheme="minorHAnsi" w:cstheme="minorHAnsi"/>
          <w:shd w:val="clear" w:color="auto" w:fill="FFFFFF"/>
        </w:rPr>
        <w:t xml:space="preserve">and </w:t>
      </w:r>
    </w:p>
    <w:p w:rsidR="0012474A" w:rsidRPr="0012474A" w:rsidRDefault="00A92277" w:rsidP="0012474A">
      <w:pPr>
        <w:pStyle w:val="BriefingNotes"/>
        <w:numPr>
          <w:ilvl w:val="0"/>
          <w:numId w:val="4"/>
        </w:numPr>
        <w:outlineLvl w:val="0"/>
        <w:rPr>
          <w:rFonts w:asciiTheme="minorHAnsi" w:hAnsiTheme="minorHAnsi" w:cstheme="minorHAnsi"/>
          <w:shd w:val="clear" w:color="auto" w:fill="FFFFFF"/>
        </w:rPr>
      </w:pPr>
      <w:r w:rsidRPr="0012474A">
        <w:rPr>
          <w:rFonts w:asciiTheme="minorHAnsi" w:hAnsiTheme="minorHAnsi" w:cstheme="minorHAnsi"/>
          <w:shd w:val="clear" w:color="auto" w:fill="FFFFFF"/>
        </w:rPr>
        <w:t xml:space="preserve">all caregivers in receipt of </w:t>
      </w:r>
      <w:r w:rsidR="0012474A">
        <w:rPr>
          <w:rFonts w:asciiTheme="minorHAnsi" w:hAnsiTheme="minorHAnsi" w:cstheme="minorHAnsi"/>
          <w:shd w:val="clear" w:color="auto" w:fill="FFFFFF"/>
        </w:rPr>
        <w:t>P</w:t>
      </w:r>
      <w:r w:rsidRPr="0012474A">
        <w:rPr>
          <w:rFonts w:asciiTheme="minorHAnsi" w:hAnsiTheme="minorHAnsi" w:cstheme="minorHAnsi"/>
          <w:shd w:val="clear" w:color="auto" w:fill="FFFFFF"/>
        </w:rPr>
        <w:t xml:space="preserve">ost-Adoption Assistance. </w:t>
      </w:r>
    </w:p>
    <w:p w:rsidR="00A41310" w:rsidRPr="0012474A" w:rsidRDefault="00A92277" w:rsidP="0012474A">
      <w:pPr>
        <w:pStyle w:val="BriefingNotes"/>
        <w:outlineLvl w:val="0"/>
        <w:rPr>
          <w:rFonts w:asciiTheme="minorHAnsi" w:hAnsiTheme="minorHAnsi" w:cstheme="minorHAnsi"/>
          <w:shd w:val="clear" w:color="auto" w:fill="FFFFFF"/>
        </w:rPr>
      </w:pPr>
      <w:r w:rsidRPr="0012474A">
        <w:rPr>
          <w:rFonts w:asciiTheme="minorHAnsi" w:hAnsiTheme="minorHAnsi" w:cstheme="minorHAnsi"/>
          <w:shd w:val="clear" w:color="auto" w:fill="FFFFFF"/>
        </w:rPr>
        <w:t xml:space="preserve">These increases are intended to </w:t>
      </w:r>
      <w:r w:rsidR="00001F2B" w:rsidRPr="0012474A">
        <w:rPr>
          <w:rFonts w:asciiTheme="minorHAnsi" w:hAnsiTheme="minorHAnsi" w:cstheme="minorHAnsi"/>
          <w:shd w:val="clear" w:color="auto" w:fill="FFFFFF"/>
        </w:rPr>
        <w:t>help cover the cost of necessities like food, clothing and housing</w:t>
      </w:r>
      <w:r w:rsidR="00A41310" w:rsidRPr="0012474A">
        <w:rPr>
          <w:rFonts w:asciiTheme="minorHAnsi" w:hAnsiTheme="minorHAnsi" w:cstheme="minorHAnsi"/>
          <w:shd w:val="clear" w:color="auto" w:fill="FFFFFF"/>
        </w:rPr>
        <w:t>.</w:t>
      </w:r>
    </w:p>
    <w:p w:rsidR="0012474A" w:rsidRPr="0012474A" w:rsidRDefault="0012474A" w:rsidP="0012474A">
      <w:pPr>
        <w:pStyle w:val="BriefingNotes"/>
        <w:ind w:left="360"/>
        <w:outlineLvl w:val="0"/>
        <w:rPr>
          <w:rFonts w:asciiTheme="minorHAnsi" w:hAnsiTheme="minorHAnsi" w:cstheme="minorHAnsi"/>
          <w:shd w:val="clear" w:color="auto" w:fill="FFFFFF"/>
        </w:rPr>
      </w:pPr>
    </w:p>
    <w:p w:rsidR="0012474A" w:rsidRPr="0012474A" w:rsidRDefault="00194761" w:rsidP="0012474A">
      <w:pPr>
        <w:pStyle w:val="BriefingNotes"/>
        <w:outlineLvl w:val="0"/>
        <w:rPr>
          <w:rFonts w:asciiTheme="minorHAnsi" w:hAnsiTheme="minorHAnsi" w:cstheme="minorHAnsi"/>
          <w:shd w:val="clear" w:color="auto" w:fill="FFFFFF"/>
        </w:rPr>
      </w:pPr>
      <w:r>
        <w:rPr>
          <w:rFonts w:asciiTheme="minorHAnsi" w:hAnsiTheme="minorHAnsi" w:cstheme="minorHAnsi"/>
          <w:shd w:val="clear" w:color="auto" w:fill="FFFFFF"/>
        </w:rPr>
        <w:t>T</w:t>
      </w:r>
      <w:r w:rsidR="003B4502" w:rsidRPr="0012474A">
        <w:rPr>
          <w:rFonts w:asciiTheme="minorHAnsi" w:hAnsiTheme="minorHAnsi" w:cstheme="minorHAnsi"/>
          <w:shd w:val="clear" w:color="auto" w:fill="FFFFFF"/>
        </w:rPr>
        <w:t>he Extended Family Program maintenance rates were increased to match those of foster caregivers</w:t>
      </w:r>
      <w:r w:rsidR="0012474A" w:rsidRPr="0012474A">
        <w:rPr>
          <w:rFonts w:asciiTheme="minorHAnsi" w:hAnsiTheme="minorHAnsi" w:cstheme="minorHAnsi"/>
          <w:shd w:val="clear" w:color="auto" w:fill="FFFFFF"/>
        </w:rPr>
        <w:t xml:space="preserve">. This was in response to Grand Chief Ed John’s report (2016) which recommended that MCFD harmonize financial assistance for families in order to promote permanency opportunities for Indigenous children. </w:t>
      </w:r>
    </w:p>
    <w:p w:rsidR="003869B2" w:rsidRPr="003869B2" w:rsidRDefault="003869B2" w:rsidP="003869B2">
      <w:pPr>
        <w:spacing w:after="0" w:line="240" w:lineRule="auto"/>
        <w:rPr>
          <w:b/>
          <w:shd w:val="clear" w:color="auto" w:fill="FFFFFF"/>
        </w:rPr>
      </w:pPr>
    </w:p>
    <w:tbl>
      <w:tblPr>
        <w:tblW w:w="9439"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979"/>
        <w:gridCol w:w="1550"/>
        <w:gridCol w:w="1680"/>
        <w:gridCol w:w="1809"/>
        <w:gridCol w:w="1421"/>
      </w:tblGrid>
      <w:tr w:rsidR="00A92277" w:rsidTr="0012474A">
        <w:trPr>
          <w:trHeight w:val="278"/>
        </w:trPr>
        <w:tc>
          <w:tcPr>
            <w:tcW w:w="2979" w:type="dxa"/>
            <w:tcBorders>
              <w:top w:val="single" w:sz="6" w:space="0" w:color="auto"/>
              <w:left w:val="single" w:sz="6" w:space="0" w:color="auto"/>
              <w:bottom w:val="single" w:sz="6" w:space="0" w:color="auto"/>
            </w:tcBorders>
          </w:tcPr>
          <w:p w:rsidR="00A92277" w:rsidRDefault="00A92277" w:rsidP="001E4147">
            <w:pPr>
              <w:pStyle w:val="Default"/>
              <w:rPr>
                <w:sz w:val="23"/>
                <w:szCs w:val="23"/>
              </w:rPr>
            </w:pPr>
            <w:r>
              <w:rPr>
                <w:b/>
                <w:bCs/>
                <w:sz w:val="23"/>
                <w:szCs w:val="23"/>
              </w:rPr>
              <w:t xml:space="preserve">Care Type </w:t>
            </w:r>
          </w:p>
        </w:tc>
        <w:tc>
          <w:tcPr>
            <w:tcW w:w="1550" w:type="dxa"/>
            <w:tcBorders>
              <w:top w:val="single" w:sz="6" w:space="0" w:color="auto"/>
              <w:bottom w:val="single" w:sz="6" w:space="0" w:color="auto"/>
            </w:tcBorders>
          </w:tcPr>
          <w:p w:rsidR="00A92277" w:rsidRDefault="0012474A" w:rsidP="001E4147">
            <w:pPr>
              <w:pStyle w:val="Default"/>
              <w:rPr>
                <w:b/>
                <w:bCs/>
                <w:sz w:val="23"/>
                <w:szCs w:val="23"/>
              </w:rPr>
            </w:pPr>
            <w:r>
              <w:rPr>
                <w:b/>
                <w:bCs/>
                <w:sz w:val="23"/>
                <w:szCs w:val="23"/>
              </w:rPr>
              <w:t xml:space="preserve">Child’s </w:t>
            </w:r>
            <w:r w:rsidR="00A92277">
              <w:rPr>
                <w:b/>
                <w:bCs/>
                <w:sz w:val="23"/>
                <w:szCs w:val="23"/>
              </w:rPr>
              <w:t>Age</w:t>
            </w:r>
          </w:p>
        </w:tc>
        <w:tc>
          <w:tcPr>
            <w:tcW w:w="1680" w:type="dxa"/>
            <w:tcBorders>
              <w:top w:val="single" w:sz="6" w:space="0" w:color="auto"/>
              <w:bottom w:val="single" w:sz="6" w:space="0" w:color="auto"/>
            </w:tcBorders>
          </w:tcPr>
          <w:p w:rsidR="00A92277" w:rsidRDefault="0012474A" w:rsidP="001E4147">
            <w:pPr>
              <w:pStyle w:val="Default"/>
              <w:rPr>
                <w:sz w:val="23"/>
                <w:szCs w:val="23"/>
              </w:rPr>
            </w:pPr>
            <w:r>
              <w:rPr>
                <w:b/>
                <w:bCs/>
                <w:sz w:val="23"/>
                <w:szCs w:val="23"/>
              </w:rPr>
              <w:t>Previous</w:t>
            </w:r>
            <w:r w:rsidR="00A92277">
              <w:rPr>
                <w:b/>
                <w:bCs/>
                <w:sz w:val="23"/>
                <w:szCs w:val="23"/>
              </w:rPr>
              <w:t xml:space="preserve"> Rate </w:t>
            </w:r>
          </w:p>
        </w:tc>
        <w:tc>
          <w:tcPr>
            <w:tcW w:w="1809" w:type="dxa"/>
            <w:tcBorders>
              <w:top w:val="single" w:sz="6" w:space="0" w:color="auto"/>
              <w:bottom w:val="single" w:sz="6" w:space="0" w:color="auto"/>
            </w:tcBorders>
          </w:tcPr>
          <w:p w:rsidR="00A92277" w:rsidRDefault="00A92277" w:rsidP="001E4147">
            <w:pPr>
              <w:pStyle w:val="Default"/>
              <w:rPr>
                <w:sz w:val="23"/>
                <w:szCs w:val="23"/>
              </w:rPr>
            </w:pPr>
            <w:r>
              <w:rPr>
                <w:b/>
                <w:bCs/>
                <w:sz w:val="23"/>
                <w:szCs w:val="23"/>
              </w:rPr>
              <w:t xml:space="preserve">New Rate </w:t>
            </w:r>
          </w:p>
        </w:tc>
        <w:tc>
          <w:tcPr>
            <w:tcW w:w="1421" w:type="dxa"/>
            <w:tcBorders>
              <w:top w:val="single" w:sz="6" w:space="0" w:color="auto"/>
              <w:bottom w:val="single" w:sz="6" w:space="0" w:color="auto"/>
              <w:right w:val="single" w:sz="6" w:space="0" w:color="auto"/>
            </w:tcBorders>
          </w:tcPr>
          <w:p w:rsidR="00A92277" w:rsidRDefault="00A92277" w:rsidP="001E4147">
            <w:pPr>
              <w:pStyle w:val="Default"/>
              <w:rPr>
                <w:sz w:val="23"/>
                <w:szCs w:val="23"/>
              </w:rPr>
            </w:pPr>
            <w:r>
              <w:rPr>
                <w:b/>
                <w:bCs/>
                <w:sz w:val="23"/>
                <w:szCs w:val="23"/>
              </w:rPr>
              <w:t xml:space="preserve">Increase </w:t>
            </w:r>
          </w:p>
        </w:tc>
      </w:tr>
      <w:tr w:rsidR="00A92277" w:rsidTr="0012474A">
        <w:trPr>
          <w:trHeight w:val="123"/>
        </w:trPr>
        <w:tc>
          <w:tcPr>
            <w:tcW w:w="2979" w:type="dxa"/>
            <w:vMerge w:val="restart"/>
            <w:tcBorders>
              <w:top w:val="single" w:sz="6" w:space="0" w:color="auto"/>
              <w:left w:val="single" w:sz="6" w:space="0" w:color="auto"/>
              <w:bottom w:val="single" w:sz="6" w:space="0" w:color="auto"/>
            </w:tcBorders>
          </w:tcPr>
          <w:p w:rsidR="00A92277" w:rsidRDefault="00A92277" w:rsidP="001E4147">
            <w:pPr>
              <w:pStyle w:val="Default"/>
              <w:rPr>
                <w:sz w:val="23"/>
                <w:szCs w:val="23"/>
              </w:rPr>
            </w:pPr>
            <w:r>
              <w:rPr>
                <w:sz w:val="23"/>
                <w:szCs w:val="23"/>
              </w:rPr>
              <w:t xml:space="preserve">Extended Family Program or Kinship Care  </w:t>
            </w:r>
          </w:p>
        </w:tc>
        <w:tc>
          <w:tcPr>
            <w:tcW w:w="1550" w:type="dxa"/>
            <w:tcBorders>
              <w:top w:val="single" w:sz="6" w:space="0" w:color="auto"/>
              <w:bottom w:val="single" w:sz="6" w:space="0" w:color="auto"/>
            </w:tcBorders>
          </w:tcPr>
          <w:p w:rsidR="00A92277" w:rsidRDefault="00A92277" w:rsidP="001E4147">
            <w:pPr>
              <w:pStyle w:val="Default"/>
              <w:rPr>
                <w:sz w:val="23"/>
                <w:szCs w:val="23"/>
              </w:rPr>
            </w:pPr>
            <w:r>
              <w:rPr>
                <w:sz w:val="23"/>
                <w:szCs w:val="23"/>
              </w:rPr>
              <w:t>0-11</w:t>
            </w:r>
          </w:p>
        </w:tc>
        <w:tc>
          <w:tcPr>
            <w:tcW w:w="1680" w:type="dxa"/>
            <w:tcBorders>
              <w:top w:val="single" w:sz="6" w:space="0" w:color="auto"/>
              <w:bottom w:val="single" w:sz="6" w:space="0" w:color="auto"/>
            </w:tcBorders>
          </w:tcPr>
          <w:p w:rsidR="00A92277" w:rsidRDefault="00A92277" w:rsidP="001E4147">
            <w:pPr>
              <w:pStyle w:val="Default"/>
              <w:rPr>
                <w:sz w:val="23"/>
                <w:szCs w:val="23"/>
              </w:rPr>
            </w:pPr>
            <w:r>
              <w:rPr>
                <w:sz w:val="23"/>
                <w:szCs w:val="23"/>
              </w:rPr>
              <w:t xml:space="preserve">$554.27 </w:t>
            </w:r>
          </w:p>
        </w:tc>
        <w:tc>
          <w:tcPr>
            <w:tcW w:w="1809" w:type="dxa"/>
            <w:tcBorders>
              <w:top w:val="single" w:sz="6" w:space="0" w:color="auto"/>
              <w:bottom w:val="single" w:sz="6" w:space="0" w:color="auto"/>
            </w:tcBorders>
          </w:tcPr>
          <w:p w:rsidR="00A92277" w:rsidRDefault="00A92277" w:rsidP="001E4147">
            <w:pPr>
              <w:pStyle w:val="Default"/>
              <w:rPr>
                <w:sz w:val="23"/>
                <w:szCs w:val="23"/>
              </w:rPr>
            </w:pPr>
            <w:r>
              <w:rPr>
                <w:sz w:val="23"/>
                <w:szCs w:val="23"/>
              </w:rPr>
              <w:t xml:space="preserve">$982.90 </w:t>
            </w:r>
          </w:p>
        </w:tc>
        <w:tc>
          <w:tcPr>
            <w:tcW w:w="1421" w:type="dxa"/>
            <w:tcBorders>
              <w:top w:val="single" w:sz="6" w:space="0" w:color="auto"/>
              <w:bottom w:val="single" w:sz="6" w:space="0" w:color="auto"/>
              <w:right w:val="single" w:sz="6" w:space="0" w:color="auto"/>
            </w:tcBorders>
          </w:tcPr>
          <w:p w:rsidR="00A92277" w:rsidRDefault="00A92277" w:rsidP="001E4147">
            <w:pPr>
              <w:pStyle w:val="Default"/>
              <w:rPr>
                <w:sz w:val="23"/>
                <w:szCs w:val="23"/>
              </w:rPr>
            </w:pPr>
            <w:r>
              <w:rPr>
                <w:sz w:val="23"/>
                <w:szCs w:val="23"/>
              </w:rPr>
              <w:t xml:space="preserve">$428.63 </w:t>
            </w:r>
          </w:p>
        </w:tc>
      </w:tr>
      <w:tr w:rsidR="00A92277" w:rsidTr="0012474A">
        <w:trPr>
          <w:trHeight w:val="123"/>
        </w:trPr>
        <w:tc>
          <w:tcPr>
            <w:tcW w:w="2979" w:type="dxa"/>
            <w:vMerge/>
            <w:tcBorders>
              <w:top w:val="single" w:sz="6" w:space="0" w:color="auto"/>
              <w:left w:val="single" w:sz="6" w:space="0" w:color="auto"/>
              <w:bottom w:val="single" w:sz="6" w:space="0" w:color="auto"/>
            </w:tcBorders>
          </w:tcPr>
          <w:p w:rsidR="00A92277" w:rsidRDefault="00A92277" w:rsidP="001E4147">
            <w:pPr>
              <w:pStyle w:val="Default"/>
              <w:rPr>
                <w:sz w:val="23"/>
                <w:szCs w:val="23"/>
              </w:rPr>
            </w:pPr>
          </w:p>
        </w:tc>
        <w:tc>
          <w:tcPr>
            <w:tcW w:w="1550" w:type="dxa"/>
            <w:tcBorders>
              <w:top w:val="single" w:sz="6" w:space="0" w:color="auto"/>
              <w:bottom w:val="single" w:sz="6" w:space="0" w:color="auto"/>
            </w:tcBorders>
          </w:tcPr>
          <w:p w:rsidR="00A92277" w:rsidRDefault="00A92277" w:rsidP="001E4147">
            <w:pPr>
              <w:pStyle w:val="Default"/>
              <w:rPr>
                <w:sz w:val="23"/>
                <w:szCs w:val="23"/>
              </w:rPr>
            </w:pPr>
            <w:r>
              <w:rPr>
                <w:sz w:val="23"/>
                <w:szCs w:val="23"/>
              </w:rPr>
              <w:t>12-18</w:t>
            </w:r>
          </w:p>
        </w:tc>
        <w:tc>
          <w:tcPr>
            <w:tcW w:w="1680" w:type="dxa"/>
            <w:tcBorders>
              <w:top w:val="single" w:sz="6" w:space="0" w:color="auto"/>
              <w:bottom w:val="single" w:sz="6" w:space="0" w:color="auto"/>
            </w:tcBorders>
          </w:tcPr>
          <w:p w:rsidR="00A92277" w:rsidRDefault="00A92277" w:rsidP="001E4147">
            <w:pPr>
              <w:pStyle w:val="Default"/>
              <w:rPr>
                <w:sz w:val="23"/>
                <w:szCs w:val="23"/>
              </w:rPr>
            </w:pPr>
            <w:r>
              <w:rPr>
                <w:sz w:val="23"/>
                <w:szCs w:val="23"/>
              </w:rPr>
              <w:t xml:space="preserve">$625.00 </w:t>
            </w:r>
          </w:p>
        </w:tc>
        <w:tc>
          <w:tcPr>
            <w:tcW w:w="1809" w:type="dxa"/>
            <w:tcBorders>
              <w:top w:val="single" w:sz="6" w:space="0" w:color="auto"/>
              <w:bottom w:val="single" w:sz="6" w:space="0" w:color="auto"/>
            </w:tcBorders>
          </w:tcPr>
          <w:p w:rsidR="00A92277" w:rsidRDefault="00A92277" w:rsidP="001E4147">
            <w:pPr>
              <w:pStyle w:val="Default"/>
              <w:rPr>
                <w:sz w:val="23"/>
                <w:szCs w:val="23"/>
              </w:rPr>
            </w:pPr>
            <w:r>
              <w:rPr>
                <w:sz w:val="23"/>
                <w:szCs w:val="23"/>
              </w:rPr>
              <w:t xml:space="preserve">$1,089.04 </w:t>
            </w:r>
          </w:p>
        </w:tc>
        <w:tc>
          <w:tcPr>
            <w:tcW w:w="1421" w:type="dxa"/>
            <w:tcBorders>
              <w:top w:val="single" w:sz="6" w:space="0" w:color="auto"/>
              <w:bottom w:val="single" w:sz="6" w:space="0" w:color="auto"/>
              <w:right w:val="single" w:sz="6" w:space="0" w:color="auto"/>
            </w:tcBorders>
          </w:tcPr>
          <w:p w:rsidR="00A92277" w:rsidRDefault="00A92277" w:rsidP="001E4147">
            <w:pPr>
              <w:pStyle w:val="Default"/>
              <w:rPr>
                <w:sz w:val="23"/>
                <w:szCs w:val="23"/>
              </w:rPr>
            </w:pPr>
            <w:r>
              <w:rPr>
                <w:sz w:val="23"/>
                <w:szCs w:val="23"/>
              </w:rPr>
              <w:t xml:space="preserve">$464.04 </w:t>
            </w:r>
          </w:p>
        </w:tc>
      </w:tr>
      <w:tr w:rsidR="00A92277" w:rsidTr="0012474A">
        <w:trPr>
          <w:trHeight w:val="123"/>
        </w:trPr>
        <w:tc>
          <w:tcPr>
            <w:tcW w:w="2979" w:type="dxa"/>
            <w:vMerge w:val="restart"/>
            <w:tcBorders>
              <w:top w:val="single" w:sz="6" w:space="0" w:color="auto"/>
              <w:left w:val="single" w:sz="6" w:space="0" w:color="auto"/>
              <w:bottom w:val="single" w:sz="6" w:space="0" w:color="auto"/>
            </w:tcBorders>
            <w:shd w:val="clear" w:color="auto" w:fill="auto"/>
          </w:tcPr>
          <w:p w:rsidR="00A92277" w:rsidRDefault="00A92277" w:rsidP="001E4147">
            <w:pPr>
              <w:pStyle w:val="Default"/>
              <w:rPr>
                <w:sz w:val="23"/>
                <w:szCs w:val="23"/>
              </w:rPr>
            </w:pPr>
            <w:r>
              <w:rPr>
                <w:sz w:val="23"/>
                <w:szCs w:val="23"/>
              </w:rPr>
              <w:t>Foster Care</w:t>
            </w:r>
            <w:r w:rsidR="003869B2">
              <w:rPr>
                <w:sz w:val="23"/>
                <w:szCs w:val="23"/>
              </w:rPr>
              <w:t xml:space="preserve">, </w:t>
            </w:r>
            <w:r w:rsidR="0012474A">
              <w:rPr>
                <w:sz w:val="23"/>
                <w:szCs w:val="23"/>
              </w:rPr>
              <w:t xml:space="preserve">Interim/Temporary Custody, </w:t>
            </w:r>
            <w:r w:rsidR="003869B2">
              <w:rPr>
                <w:sz w:val="23"/>
                <w:szCs w:val="23"/>
              </w:rPr>
              <w:t>Permanent Transfer of Custody</w:t>
            </w:r>
            <w:r w:rsidR="0012474A">
              <w:rPr>
                <w:sz w:val="23"/>
                <w:szCs w:val="23"/>
              </w:rPr>
              <w:t xml:space="preserve"> (section 54.1 or 54.01)</w:t>
            </w:r>
            <w:r w:rsidR="003869B2">
              <w:rPr>
                <w:sz w:val="23"/>
                <w:szCs w:val="23"/>
              </w:rPr>
              <w:t xml:space="preserve">  </w:t>
            </w:r>
          </w:p>
        </w:tc>
        <w:tc>
          <w:tcPr>
            <w:tcW w:w="1550" w:type="dxa"/>
            <w:tcBorders>
              <w:top w:val="single" w:sz="6" w:space="0" w:color="auto"/>
              <w:bottom w:val="single" w:sz="6" w:space="0" w:color="auto"/>
            </w:tcBorders>
            <w:shd w:val="clear" w:color="auto" w:fill="auto"/>
          </w:tcPr>
          <w:p w:rsidR="00A92277" w:rsidRDefault="00A92277" w:rsidP="001E4147">
            <w:pPr>
              <w:pStyle w:val="Default"/>
              <w:rPr>
                <w:sz w:val="23"/>
                <w:szCs w:val="23"/>
              </w:rPr>
            </w:pPr>
            <w:r>
              <w:rPr>
                <w:sz w:val="23"/>
                <w:szCs w:val="23"/>
              </w:rPr>
              <w:t>0-11</w:t>
            </w:r>
          </w:p>
        </w:tc>
        <w:tc>
          <w:tcPr>
            <w:tcW w:w="1680" w:type="dxa"/>
            <w:tcBorders>
              <w:top w:val="single" w:sz="6" w:space="0" w:color="auto"/>
              <w:bottom w:val="single" w:sz="6" w:space="0" w:color="auto"/>
            </w:tcBorders>
            <w:shd w:val="clear" w:color="auto" w:fill="auto"/>
          </w:tcPr>
          <w:p w:rsidR="00A92277" w:rsidRDefault="00A92277" w:rsidP="001E4147">
            <w:pPr>
              <w:pStyle w:val="Default"/>
              <w:rPr>
                <w:sz w:val="23"/>
                <w:szCs w:val="23"/>
              </w:rPr>
            </w:pPr>
            <w:r>
              <w:rPr>
                <w:sz w:val="23"/>
                <w:szCs w:val="23"/>
              </w:rPr>
              <w:t xml:space="preserve">$803.81 </w:t>
            </w:r>
          </w:p>
        </w:tc>
        <w:tc>
          <w:tcPr>
            <w:tcW w:w="1809" w:type="dxa"/>
            <w:tcBorders>
              <w:top w:val="single" w:sz="6" w:space="0" w:color="auto"/>
              <w:bottom w:val="single" w:sz="6" w:space="0" w:color="auto"/>
            </w:tcBorders>
            <w:shd w:val="clear" w:color="auto" w:fill="auto"/>
          </w:tcPr>
          <w:p w:rsidR="00A92277" w:rsidRDefault="00A92277" w:rsidP="001E4147">
            <w:pPr>
              <w:pStyle w:val="Default"/>
              <w:rPr>
                <w:sz w:val="23"/>
                <w:szCs w:val="23"/>
              </w:rPr>
            </w:pPr>
            <w:r>
              <w:rPr>
                <w:sz w:val="23"/>
                <w:szCs w:val="23"/>
              </w:rPr>
              <w:t xml:space="preserve">$982.90 </w:t>
            </w:r>
          </w:p>
        </w:tc>
        <w:tc>
          <w:tcPr>
            <w:tcW w:w="1421" w:type="dxa"/>
            <w:tcBorders>
              <w:top w:val="single" w:sz="6" w:space="0" w:color="auto"/>
              <w:bottom w:val="single" w:sz="6" w:space="0" w:color="auto"/>
              <w:right w:val="single" w:sz="6" w:space="0" w:color="auto"/>
            </w:tcBorders>
            <w:shd w:val="clear" w:color="auto" w:fill="auto"/>
          </w:tcPr>
          <w:p w:rsidR="00A92277" w:rsidRDefault="00A92277" w:rsidP="001E4147">
            <w:pPr>
              <w:pStyle w:val="Default"/>
              <w:rPr>
                <w:sz w:val="23"/>
                <w:szCs w:val="23"/>
              </w:rPr>
            </w:pPr>
            <w:r>
              <w:rPr>
                <w:sz w:val="23"/>
                <w:szCs w:val="23"/>
              </w:rPr>
              <w:t xml:space="preserve">$179.09 </w:t>
            </w:r>
          </w:p>
        </w:tc>
      </w:tr>
      <w:tr w:rsidR="00A92277" w:rsidTr="0012474A">
        <w:trPr>
          <w:trHeight w:val="123"/>
        </w:trPr>
        <w:tc>
          <w:tcPr>
            <w:tcW w:w="2979" w:type="dxa"/>
            <w:vMerge/>
            <w:tcBorders>
              <w:top w:val="single" w:sz="6" w:space="0" w:color="auto"/>
              <w:left w:val="single" w:sz="6" w:space="0" w:color="auto"/>
              <w:bottom w:val="single" w:sz="6" w:space="0" w:color="auto"/>
            </w:tcBorders>
            <w:shd w:val="clear" w:color="auto" w:fill="auto"/>
          </w:tcPr>
          <w:p w:rsidR="00A92277" w:rsidRDefault="00A92277" w:rsidP="001E4147">
            <w:pPr>
              <w:pStyle w:val="Default"/>
              <w:rPr>
                <w:sz w:val="23"/>
                <w:szCs w:val="23"/>
              </w:rPr>
            </w:pPr>
          </w:p>
        </w:tc>
        <w:tc>
          <w:tcPr>
            <w:tcW w:w="1550" w:type="dxa"/>
            <w:tcBorders>
              <w:top w:val="single" w:sz="6" w:space="0" w:color="auto"/>
              <w:bottom w:val="single" w:sz="6" w:space="0" w:color="auto"/>
            </w:tcBorders>
            <w:shd w:val="clear" w:color="auto" w:fill="auto"/>
          </w:tcPr>
          <w:p w:rsidR="00A92277" w:rsidRDefault="00A92277" w:rsidP="001E4147">
            <w:pPr>
              <w:pStyle w:val="Default"/>
              <w:rPr>
                <w:sz w:val="23"/>
                <w:szCs w:val="23"/>
              </w:rPr>
            </w:pPr>
            <w:r>
              <w:rPr>
                <w:sz w:val="23"/>
                <w:szCs w:val="23"/>
              </w:rPr>
              <w:t>12-18</w:t>
            </w:r>
          </w:p>
        </w:tc>
        <w:tc>
          <w:tcPr>
            <w:tcW w:w="1680" w:type="dxa"/>
            <w:tcBorders>
              <w:top w:val="single" w:sz="6" w:space="0" w:color="auto"/>
              <w:bottom w:val="single" w:sz="6" w:space="0" w:color="auto"/>
            </w:tcBorders>
            <w:shd w:val="clear" w:color="auto" w:fill="auto"/>
          </w:tcPr>
          <w:p w:rsidR="00A92277" w:rsidRDefault="00A92277" w:rsidP="001E4147">
            <w:pPr>
              <w:pStyle w:val="Default"/>
              <w:rPr>
                <w:sz w:val="23"/>
                <w:szCs w:val="23"/>
              </w:rPr>
            </w:pPr>
            <w:r>
              <w:rPr>
                <w:sz w:val="23"/>
                <w:szCs w:val="23"/>
              </w:rPr>
              <w:t xml:space="preserve">$909.95 </w:t>
            </w:r>
          </w:p>
        </w:tc>
        <w:tc>
          <w:tcPr>
            <w:tcW w:w="1809" w:type="dxa"/>
            <w:tcBorders>
              <w:top w:val="single" w:sz="6" w:space="0" w:color="auto"/>
              <w:bottom w:val="single" w:sz="6" w:space="0" w:color="auto"/>
            </w:tcBorders>
            <w:shd w:val="clear" w:color="auto" w:fill="auto"/>
          </w:tcPr>
          <w:p w:rsidR="00A92277" w:rsidRDefault="00A92277" w:rsidP="001E4147">
            <w:pPr>
              <w:pStyle w:val="Default"/>
              <w:rPr>
                <w:sz w:val="23"/>
                <w:szCs w:val="23"/>
              </w:rPr>
            </w:pPr>
            <w:r>
              <w:rPr>
                <w:sz w:val="23"/>
                <w:szCs w:val="23"/>
              </w:rPr>
              <w:t xml:space="preserve">$1,089.04 </w:t>
            </w:r>
          </w:p>
        </w:tc>
        <w:tc>
          <w:tcPr>
            <w:tcW w:w="1421" w:type="dxa"/>
            <w:tcBorders>
              <w:top w:val="single" w:sz="6" w:space="0" w:color="auto"/>
              <w:bottom w:val="single" w:sz="6" w:space="0" w:color="auto"/>
              <w:right w:val="single" w:sz="6" w:space="0" w:color="auto"/>
            </w:tcBorders>
            <w:shd w:val="clear" w:color="auto" w:fill="auto"/>
          </w:tcPr>
          <w:p w:rsidR="00A92277" w:rsidRDefault="00A92277" w:rsidP="001E4147">
            <w:pPr>
              <w:pStyle w:val="Default"/>
              <w:rPr>
                <w:sz w:val="23"/>
                <w:szCs w:val="23"/>
              </w:rPr>
            </w:pPr>
            <w:r>
              <w:rPr>
                <w:sz w:val="23"/>
                <w:szCs w:val="23"/>
              </w:rPr>
              <w:t xml:space="preserve">$179.09 </w:t>
            </w:r>
          </w:p>
        </w:tc>
      </w:tr>
      <w:tr w:rsidR="0012474A" w:rsidTr="0012474A">
        <w:trPr>
          <w:trHeight w:val="123"/>
        </w:trPr>
        <w:tc>
          <w:tcPr>
            <w:tcW w:w="2979" w:type="dxa"/>
            <w:vMerge w:val="restart"/>
            <w:tcBorders>
              <w:top w:val="single" w:sz="6" w:space="0" w:color="auto"/>
              <w:left w:val="single" w:sz="6" w:space="0" w:color="auto"/>
              <w:bottom w:val="single" w:sz="6" w:space="0" w:color="auto"/>
            </w:tcBorders>
            <w:shd w:val="clear" w:color="auto" w:fill="auto"/>
          </w:tcPr>
          <w:p w:rsidR="0012474A" w:rsidRDefault="0012474A" w:rsidP="00DC1C73">
            <w:pPr>
              <w:pStyle w:val="Default"/>
              <w:rPr>
                <w:sz w:val="23"/>
                <w:szCs w:val="23"/>
              </w:rPr>
            </w:pPr>
            <w:r>
              <w:rPr>
                <w:sz w:val="23"/>
                <w:szCs w:val="23"/>
              </w:rPr>
              <w:t xml:space="preserve">Post Adoption Assistance </w:t>
            </w:r>
          </w:p>
        </w:tc>
        <w:tc>
          <w:tcPr>
            <w:tcW w:w="1550" w:type="dxa"/>
            <w:tcBorders>
              <w:top w:val="single" w:sz="6" w:space="0" w:color="auto"/>
              <w:bottom w:val="single" w:sz="6" w:space="0" w:color="auto"/>
            </w:tcBorders>
            <w:shd w:val="clear" w:color="auto" w:fill="auto"/>
          </w:tcPr>
          <w:p w:rsidR="0012474A" w:rsidRDefault="0012474A" w:rsidP="00DC1C73">
            <w:pPr>
              <w:pStyle w:val="Default"/>
              <w:rPr>
                <w:sz w:val="23"/>
                <w:szCs w:val="23"/>
              </w:rPr>
            </w:pPr>
            <w:r>
              <w:rPr>
                <w:sz w:val="23"/>
                <w:szCs w:val="23"/>
              </w:rPr>
              <w:t>0-11</w:t>
            </w:r>
          </w:p>
        </w:tc>
        <w:tc>
          <w:tcPr>
            <w:tcW w:w="1680" w:type="dxa"/>
            <w:tcBorders>
              <w:top w:val="single" w:sz="6" w:space="0" w:color="auto"/>
              <w:bottom w:val="single" w:sz="6" w:space="0" w:color="auto"/>
            </w:tcBorders>
            <w:shd w:val="clear" w:color="auto" w:fill="auto"/>
          </w:tcPr>
          <w:p w:rsidR="0012474A" w:rsidRDefault="0012474A" w:rsidP="00DC1C73">
            <w:pPr>
              <w:pStyle w:val="Default"/>
              <w:rPr>
                <w:sz w:val="23"/>
                <w:szCs w:val="23"/>
              </w:rPr>
            </w:pPr>
            <w:r>
              <w:rPr>
                <w:sz w:val="23"/>
                <w:szCs w:val="23"/>
              </w:rPr>
              <w:t xml:space="preserve">$701.55 </w:t>
            </w:r>
          </w:p>
        </w:tc>
        <w:tc>
          <w:tcPr>
            <w:tcW w:w="1809" w:type="dxa"/>
            <w:tcBorders>
              <w:top w:val="single" w:sz="6" w:space="0" w:color="auto"/>
              <w:bottom w:val="single" w:sz="6" w:space="0" w:color="auto"/>
            </w:tcBorders>
            <w:shd w:val="clear" w:color="auto" w:fill="auto"/>
          </w:tcPr>
          <w:p w:rsidR="0012474A" w:rsidRDefault="0012474A" w:rsidP="00DC1C73">
            <w:pPr>
              <w:pStyle w:val="Default"/>
              <w:rPr>
                <w:sz w:val="23"/>
                <w:szCs w:val="23"/>
              </w:rPr>
            </w:pPr>
            <w:r>
              <w:rPr>
                <w:sz w:val="23"/>
                <w:szCs w:val="23"/>
              </w:rPr>
              <w:t xml:space="preserve">$806.78 </w:t>
            </w:r>
          </w:p>
        </w:tc>
        <w:tc>
          <w:tcPr>
            <w:tcW w:w="1421" w:type="dxa"/>
            <w:tcBorders>
              <w:top w:val="single" w:sz="6" w:space="0" w:color="auto"/>
              <w:bottom w:val="single" w:sz="6" w:space="0" w:color="auto"/>
              <w:right w:val="single" w:sz="6" w:space="0" w:color="auto"/>
            </w:tcBorders>
            <w:shd w:val="clear" w:color="auto" w:fill="auto"/>
          </w:tcPr>
          <w:p w:rsidR="0012474A" w:rsidRDefault="0012474A" w:rsidP="00DC1C73">
            <w:pPr>
              <w:pStyle w:val="Default"/>
              <w:rPr>
                <w:sz w:val="23"/>
                <w:szCs w:val="23"/>
              </w:rPr>
            </w:pPr>
            <w:r>
              <w:rPr>
                <w:sz w:val="23"/>
                <w:szCs w:val="23"/>
              </w:rPr>
              <w:t xml:space="preserve">$105.23 </w:t>
            </w:r>
          </w:p>
        </w:tc>
      </w:tr>
      <w:tr w:rsidR="0012474A" w:rsidTr="0012474A">
        <w:trPr>
          <w:trHeight w:val="123"/>
        </w:trPr>
        <w:tc>
          <w:tcPr>
            <w:tcW w:w="2979" w:type="dxa"/>
            <w:vMerge/>
            <w:tcBorders>
              <w:top w:val="single" w:sz="6" w:space="0" w:color="auto"/>
              <w:left w:val="single" w:sz="6" w:space="0" w:color="auto"/>
              <w:bottom w:val="single" w:sz="6" w:space="0" w:color="auto"/>
            </w:tcBorders>
            <w:shd w:val="clear" w:color="auto" w:fill="auto"/>
          </w:tcPr>
          <w:p w:rsidR="0012474A" w:rsidRDefault="0012474A" w:rsidP="00DC1C73">
            <w:pPr>
              <w:pStyle w:val="Default"/>
              <w:rPr>
                <w:sz w:val="23"/>
                <w:szCs w:val="23"/>
              </w:rPr>
            </w:pPr>
          </w:p>
        </w:tc>
        <w:tc>
          <w:tcPr>
            <w:tcW w:w="1550" w:type="dxa"/>
            <w:tcBorders>
              <w:top w:val="single" w:sz="6" w:space="0" w:color="auto"/>
              <w:bottom w:val="single" w:sz="6" w:space="0" w:color="auto"/>
            </w:tcBorders>
            <w:shd w:val="clear" w:color="auto" w:fill="auto"/>
          </w:tcPr>
          <w:p w:rsidR="0012474A" w:rsidRDefault="0012474A" w:rsidP="00DC1C73">
            <w:pPr>
              <w:pStyle w:val="Default"/>
              <w:rPr>
                <w:sz w:val="23"/>
                <w:szCs w:val="23"/>
              </w:rPr>
            </w:pPr>
            <w:r>
              <w:rPr>
                <w:sz w:val="23"/>
                <w:szCs w:val="23"/>
              </w:rPr>
              <w:t>12-18</w:t>
            </w:r>
          </w:p>
        </w:tc>
        <w:tc>
          <w:tcPr>
            <w:tcW w:w="1680" w:type="dxa"/>
            <w:tcBorders>
              <w:top w:val="single" w:sz="6" w:space="0" w:color="auto"/>
              <w:bottom w:val="single" w:sz="6" w:space="0" w:color="auto"/>
            </w:tcBorders>
            <w:shd w:val="clear" w:color="auto" w:fill="auto"/>
          </w:tcPr>
          <w:p w:rsidR="0012474A" w:rsidRDefault="0012474A" w:rsidP="00DC1C73">
            <w:pPr>
              <w:pStyle w:val="Default"/>
              <w:rPr>
                <w:sz w:val="23"/>
                <w:szCs w:val="23"/>
              </w:rPr>
            </w:pPr>
            <w:r>
              <w:rPr>
                <w:sz w:val="23"/>
                <w:szCs w:val="23"/>
              </w:rPr>
              <w:t xml:space="preserve">$805.68 </w:t>
            </w:r>
          </w:p>
        </w:tc>
        <w:tc>
          <w:tcPr>
            <w:tcW w:w="1809" w:type="dxa"/>
            <w:tcBorders>
              <w:top w:val="single" w:sz="6" w:space="0" w:color="auto"/>
              <w:bottom w:val="single" w:sz="6" w:space="0" w:color="auto"/>
            </w:tcBorders>
            <w:shd w:val="clear" w:color="auto" w:fill="auto"/>
          </w:tcPr>
          <w:p w:rsidR="0012474A" w:rsidRDefault="0012474A" w:rsidP="00DC1C73">
            <w:pPr>
              <w:pStyle w:val="Default"/>
              <w:rPr>
                <w:sz w:val="23"/>
                <w:szCs w:val="23"/>
              </w:rPr>
            </w:pPr>
            <w:r>
              <w:rPr>
                <w:sz w:val="23"/>
                <w:szCs w:val="23"/>
              </w:rPr>
              <w:t xml:space="preserve">$926.53 </w:t>
            </w:r>
          </w:p>
        </w:tc>
        <w:tc>
          <w:tcPr>
            <w:tcW w:w="1421" w:type="dxa"/>
            <w:tcBorders>
              <w:top w:val="single" w:sz="6" w:space="0" w:color="auto"/>
              <w:bottom w:val="single" w:sz="6" w:space="0" w:color="auto"/>
              <w:right w:val="single" w:sz="6" w:space="0" w:color="auto"/>
            </w:tcBorders>
            <w:shd w:val="clear" w:color="auto" w:fill="auto"/>
          </w:tcPr>
          <w:p w:rsidR="0012474A" w:rsidRDefault="0012474A" w:rsidP="00DC1C73">
            <w:pPr>
              <w:pStyle w:val="Default"/>
              <w:rPr>
                <w:sz w:val="23"/>
                <w:szCs w:val="23"/>
              </w:rPr>
            </w:pPr>
            <w:r>
              <w:rPr>
                <w:sz w:val="23"/>
                <w:szCs w:val="23"/>
              </w:rPr>
              <w:t xml:space="preserve">$120.85 </w:t>
            </w:r>
          </w:p>
        </w:tc>
      </w:tr>
    </w:tbl>
    <w:p w:rsidR="00A92277" w:rsidRPr="00A92277" w:rsidRDefault="00A92277" w:rsidP="00A92277">
      <w:pPr>
        <w:spacing w:line="240" w:lineRule="auto"/>
        <w:rPr>
          <w:shd w:val="clear" w:color="auto" w:fill="FFFFFF"/>
        </w:rPr>
      </w:pPr>
    </w:p>
    <w:p w:rsidR="00B551E2" w:rsidRDefault="00B551E2" w:rsidP="00B551E2">
      <w:pPr>
        <w:spacing w:after="0" w:line="240" w:lineRule="auto"/>
        <w:rPr>
          <w:b/>
          <w:sz w:val="24"/>
          <w:szCs w:val="24"/>
          <w:shd w:val="clear" w:color="auto" w:fill="FFFFFF"/>
        </w:rPr>
      </w:pPr>
      <w:r w:rsidRPr="003B319C">
        <w:rPr>
          <w:b/>
          <w:sz w:val="24"/>
          <w:szCs w:val="24"/>
          <w:shd w:val="clear" w:color="auto" w:fill="FFFFFF"/>
        </w:rPr>
        <w:t>Why is the basic family care rate changing?</w:t>
      </w:r>
    </w:p>
    <w:p w:rsidR="00B551E2" w:rsidRPr="003B319C" w:rsidRDefault="00B551E2" w:rsidP="003B319C">
      <w:pPr>
        <w:pStyle w:val="BriefingNotes"/>
        <w:outlineLvl w:val="0"/>
        <w:rPr>
          <w:rFonts w:asciiTheme="minorHAnsi" w:hAnsiTheme="minorHAnsi" w:cstheme="minorHAnsi"/>
          <w:shd w:val="clear" w:color="auto" w:fill="FFFFFF"/>
        </w:rPr>
      </w:pPr>
      <w:r w:rsidRPr="003B319C">
        <w:rPr>
          <w:rFonts w:asciiTheme="minorHAnsi" w:hAnsiTheme="minorHAnsi" w:cstheme="minorHAnsi"/>
          <w:shd w:val="clear" w:color="auto" w:fill="FFFFFF"/>
        </w:rPr>
        <w:t xml:space="preserve">The maintenance rate has not changed since 2009 and no longer represents the actual costs of providing care for children/youth. Caregivers receive the maintenance rate to cover the day-to-day costs of caring for children and youth in care. </w:t>
      </w:r>
    </w:p>
    <w:p w:rsidR="003B319C" w:rsidRPr="003B319C" w:rsidRDefault="003B319C" w:rsidP="003B319C">
      <w:pPr>
        <w:pStyle w:val="BriefingNotes"/>
        <w:outlineLvl w:val="0"/>
        <w:rPr>
          <w:rFonts w:asciiTheme="minorHAnsi" w:hAnsiTheme="minorHAnsi" w:cstheme="minorHAnsi"/>
          <w:shd w:val="clear" w:color="auto" w:fill="FFFFFF"/>
        </w:rPr>
      </w:pPr>
    </w:p>
    <w:p w:rsidR="001121DA" w:rsidRDefault="00A41310" w:rsidP="003B319C">
      <w:pPr>
        <w:pStyle w:val="BriefingNotes"/>
        <w:outlineLvl w:val="0"/>
        <w:rPr>
          <w:rFonts w:asciiTheme="minorHAnsi" w:hAnsiTheme="minorHAnsi" w:cstheme="minorHAnsi"/>
          <w:shd w:val="clear" w:color="auto" w:fill="FFFFFF"/>
        </w:rPr>
      </w:pPr>
      <w:r w:rsidRPr="003B319C">
        <w:rPr>
          <w:rFonts w:asciiTheme="minorHAnsi" w:hAnsiTheme="minorHAnsi" w:cstheme="minorHAnsi"/>
          <w:shd w:val="clear" w:color="auto" w:fill="FFFFFF"/>
        </w:rPr>
        <w:t xml:space="preserve">Family caregivers and adoptive parents fulfil a vital role in our province by providing nurturing and stable environments for vulnerable children and youth during a difficult time. It is vital that the Ministry continue to support these caregivers to ensure the well-being of children and youth in their care. </w:t>
      </w:r>
    </w:p>
    <w:p w:rsidR="001121DA" w:rsidRDefault="001121DA" w:rsidP="003B319C">
      <w:pPr>
        <w:pStyle w:val="BriefingNotes"/>
        <w:outlineLvl w:val="0"/>
        <w:rPr>
          <w:rFonts w:asciiTheme="minorHAnsi" w:hAnsiTheme="minorHAnsi" w:cstheme="minorHAnsi"/>
          <w:b/>
          <w:shd w:val="clear" w:color="auto" w:fill="FFFFFF"/>
        </w:rPr>
      </w:pPr>
    </w:p>
    <w:p w:rsidR="0006560C" w:rsidRPr="0060760C" w:rsidRDefault="0006560C" w:rsidP="003B319C">
      <w:pPr>
        <w:pStyle w:val="BriefingNotes"/>
        <w:outlineLvl w:val="0"/>
        <w:rPr>
          <w:rFonts w:asciiTheme="minorHAnsi" w:hAnsiTheme="minorHAnsi" w:cstheme="minorHAnsi"/>
          <w:b/>
          <w:shd w:val="clear" w:color="auto" w:fill="FFFFFF"/>
        </w:rPr>
      </w:pPr>
      <w:r w:rsidRPr="0060760C">
        <w:rPr>
          <w:rFonts w:asciiTheme="minorHAnsi" w:hAnsiTheme="minorHAnsi" w:cstheme="minorHAnsi"/>
          <w:b/>
          <w:shd w:val="clear" w:color="auto" w:fill="FFFFFF"/>
        </w:rPr>
        <w:t>I</w:t>
      </w:r>
      <w:r w:rsidR="003D2725" w:rsidRPr="0060760C">
        <w:rPr>
          <w:rFonts w:asciiTheme="minorHAnsi" w:hAnsiTheme="minorHAnsi" w:cstheme="minorHAnsi"/>
          <w:b/>
          <w:shd w:val="clear" w:color="auto" w:fill="FFFFFF"/>
        </w:rPr>
        <w:t xml:space="preserve">ndigenous </w:t>
      </w:r>
      <w:r w:rsidRPr="0060760C">
        <w:rPr>
          <w:rFonts w:asciiTheme="minorHAnsi" w:hAnsiTheme="minorHAnsi" w:cstheme="minorHAnsi"/>
          <w:b/>
          <w:shd w:val="clear" w:color="auto" w:fill="FFFFFF"/>
        </w:rPr>
        <w:t>S</w:t>
      </w:r>
      <w:r w:rsidR="003D2725" w:rsidRPr="0060760C">
        <w:rPr>
          <w:rFonts w:asciiTheme="minorHAnsi" w:hAnsiTheme="minorHAnsi" w:cstheme="minorHAnsi"/>
          <w:b/>
          <w:shd w:val="clear" w:color="auto" w:fill="FFFFFF"/>
        </w:rPr>
        <w:t xml:space="preserve">ervices </w:t>
      </w:r>
      <w:r w:rsidRPr="0060760C">
        <w:rPr>
          <w:rFonts w:asciiTheme="minorHAnsi" w:hAnsiTheme="minorHAnsi" w:cstheme="minorHAnsi"/>
          <w:b/>
          <w:shd w:val="clear" w:color="auto" w:fill="FFFFFF"/>
        </w:rPr>
        <w:t>C</w:t>
      </w:r>
      <w:r w:rsidR="003D2725" w:rsidRPr="0060760C">
        <w:rPr>
          <w:rFonts w:asciiTheme="minorHAnsi" w:hAnsiTheme="minorHAnsi" w:cstheme="minorHAnsi"/>
          <w:b/>
          <w:shd w:val="clear" w:color="auto" w:fill="FFFFFF"/>
        </w:rPr>
        <w:t>anada</w:t>
      </w:r>
      <w:r w:rsidRPr="0060760C">
        <w:rPr>
          <w:rFonts w:asciiTheme="minorHAnsi" w:hAnsiTheme="minorHAnsi" w:cstheme="minorHAnsi"/>
          <w:b/>
          <w:shd w:val="clear" w:color="auto" w:fill="FFFFFF"/>
        </w:rPr>
        <w:t xml:space="preserve"> support for new caregiver rates</w:t>
      </w:r>
    </w:p>
    <w:p w:rsidR="0006560C" w:rsidRPr="003B319C" w:rsidRDefault="0006560C" w:rsidP="003B319C">
      <w:pPr>
        <w:pStyle w:val="BriefingNotes"/>
        <w:outlineLvl w:val="0"/>
        <w:rPr>
          <w:rFonts w:asciiTheme="minorHAnsi" w:hAnsiTheme="minorHAnsi" w:cstheme="minorHAnsi"/>
          <w:shd w:val="clear" w:color="auto" w:fill="FFFFFF"/>
        </w:rPr>
      </w:pPr>
      <w:r w:rsidRPr="0060760C">
        <w:rPr>
          <w:rFonts w:asciiTheme="minorHAnsi" w:hAnsiTheme="minorHAnsi" w:cstheme="minorHAnsi"/>
          <w:shd w:val="clear" w:color="auto" w:fill="FFFFFF"/>
        </w:rPr>
        <w:t xml:space="preserve">Canada </w:t>
      </w:r>
      <w:r w:rsidR="003D2725" w:rsidRPr="0060760C">
        <w:rPr>
          <w:rFonts w:asciiTheme="minorHAnsi" w:hAnsiTheme="minorHAnsi" w:cstheme="minorHAnsi"/>
          <w:shd w:val="clear" w:color="auto" w:fill="FFFFFF"/>
        </w:rPr>
        <w:t>acknowledges the important work that foster caregivers and extended family do, and is supportive of the Province’s increased rates. Canada will match the new rates for all the applicable care types.</w:t>
      </w:r>
    </w:p>
    <w:sectPr w:rsidR="0006560C" w:rsidRPr="003B319C" w:rsidSect="000A07A9">
      <w:headerReference w:type="even" r:id="rId7"/>
      <w:headerReference w:type="default" r:id="rId8"/>
      <w:headerReference w:type="first" r:id="rId9"/>
      <w:pgSz w:w="12240" w:h="15840"/>
      <w:pgMar w:top="124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545F" w:rsidRDefault="0077545F" w:rsidP="00E918BE">
      <w:pPr>
        <w:spacing w:after="0" w:line="240" w:lineRule="auto"/>
      </w:pPr>
      <w:r>
        <w:separator/>
      </w:r>
    </w:p>
  </w:endnote>
  <w:endnote w:type="continuationSeparator" w:id="0">
    <w:p w:rsidR="0077545F" w:rsidRDefault="0077545F" w:rsidP="00E91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545F" w:rsidRDefault="0077545F" w:rsidP="00E918BE">
      <w:pPr>
        <w:spacing w:after="0" w:line="240" w:lineRule="auto"/>
      </w:pPr>
      <w:r>
        <w:separator/>
      </w:r>
    </w:p>
  </w:footnote>
  <w:footnote w:type="continuationSeparator" w:id="0">
    <w:p w:rsidR="0077545F" w:rsidRDefault="0077545F" w:rsidP="00E91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8BE" w:rsidRDefault="00E918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8BE" w:rsidRDefault="00E918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8BE" w:rsidRDefault="00E918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0DC3"/>
    <w:multiLevelType w:val="hybridMultilevel"/>
    <w:tmpl w:val="42D8E81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160319EF"/>
    <w:multiLevelType w:val="hybridMultilevel"/>
    <w:tmpl w:val="455662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5AC3740"/>
    <w:multiLevelType w:val="hybridMultilevel"/>
    <w:tmpl w:val="A6A21D5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69E425BD"/>
    <w:multiLevelType w:val="hybridMultilevel"/>
    <w:tmpl w:val="ECECB9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310"/>
    <w:rsid w:val="00001F2B"/>
    <w:rsid w:val="0006560C"/>
    <w:rsid w:val="00066139"/>
    <w:rsid w:val="000A07A9"/>
    <w:rsid w:val="000A21FE"/>
    <w:rsid w:val="000B1AC8"/>
    <w:rsid w:val="000E219B"/>
    <w:rsid w:val="001121DA"/>
    <w:rsid w:val="0012474A"/>
    <w:rsid w:val="001843FF"/>
    <w:rsid w:val="00194761"/>
    <w:rsid w:val="001A05D2"/>
    <w:rsid w:val="002019E5"/>
    <w:rsid w:val="002452EE"/>
    <w:rsid w:val="00246FFC"/>
    <w:rsid w:val="0027237C"/>
    <w:rsid w:val="0027352D"/>
    <w:rsid w:val="002930B6"/>
    <w:rsid w:val="00332621"/>
    <w:rsid w:val="003869B2"/>
    <w:rsid w:val="003B319C"/>
    <w:rsid w:val="003B4502"/>
    <w:rsid w:val="003B6C6F"/>
    <w:rsid w:val="003D2725"/>
    <w:rsid w:val="00584BD1"/>
    <w:rsid w:val="0060760C"/>
    <w:rsid w:val="00624A8A"/>
    <w:rsid w:val="00672202"/>
    <w:rsid w:val="006C4EBA"/>
    <w:rsid w:val="00717EE2"/>
    <w:rsid w:val="0077545F"/>
    <w:rsid w:val="007A6BEC"/>
    <w:rsid w:val="007C33C4"/>
    <w:rsid w:val="008746F3"/>
    <w:rsid w:val="008C7818"/>
    <w:rsid w:val="00905D72"/>
    <w:rsid w:val="0091704A"/>
    <w:rsid w:val="00977CE6"/>
    <w:rsid w:val="009D0520"/>
    <w:rsid w:val="00A41310"/>
    <w:rsid w:val="00A53274"/>
    <w:rsid w:val="00A77310"/>
    <w:rsid w:val="00A92277"/>
    <w:rsid w:val="00B26637"/>
    <w:rsid w:val="00B26F68"/>
    <w:rsid w:val="00B551E2"/>
    <w:rsid w:val="00B655B0"/>
    <w:rsid w:val="00C07FD7"/>
    <w:rsid w:val="00CD38DC"/>
    <w:rsid w:val="00CF435E"/>
    <w:rsid w:val="00D41485"/>
    <w:rsid w:val="00D53E16"/>
    <w:rsid w:val="00DC1C73"/>
    <w:rsid w:val="00E01B51"/>
    <w:rsid w:val="00E918BE"/>
    <w:rsid w:val="00E97DB5"/>
    <w:rsid w:val="00EA4E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06F351"/>
  <w15:docId w15:val="{3D48958F-EAE5-43B8-8562-7976CBED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N 1"/>
    <w:basedOn w:val="Normal"/>
    <w:link w:val="ListParagraphChar"/>
    <w:uiPriority w:val="34"/>
    <w:qFormat/>
    <w:rsid w:val="00A41310"/>
    <w:pPr>
      <w:spacing w:after="200" w:line="276" w:lineRule="auto"/>
      <w:ind w:left="720"/>
      <w:contextualSpacing/>
    </w:pPr>
  </w:style>
  <w:style w:type="character" w:customStyle="1" w:styleId="ListParagraphChar">
    <w:name w:val="List Paragraph Char"/>
    <w:aliases w:val="BN 1 Char"/>
    <w:basedOn w:val="DefaultParagraphFont"/>
    <w:link w:val="ListParagraph"/>
    <w:uiPriority w:val="34"/>
    <w:rsid w:val="00A41310"/>
  </w:style>
  <w:style w:type="paragraph" w:styleId="BodyText">
    <w:name w:val="Body Text"/>
    <w:basedOn w:val="Normal"/>
    <w:link w:val="BodyTextChar"/>
    <w:uiPriority w:val="99"/>
    <w:rsid w:val="00A41310"/>
    <w:pPr>
      <w:widowControl w:val="0"/>
      <w:spacing w:after="0" w:line="240" w:lineRule="atLeast"/>
    </w:pPr>
    <w:rPr>
      <w:rFonts w:ascii="Arial" w:eastAsia="Times New Roman" w:hAnsi="Arial" w:cs="Times New Roman"/>
      <w:b/>
      <w:color w:val="000000"/>
      <w:sz w:val="24"/>
      <w:szCs w:val="20"/>
    </w:rPr>
  </w:style>
  <w:style w:type="character" w:customStyle="1" w:styleId="BodyTextChar">
    <w:name w:val="Body Text Char"/>
    <w:basedOn w:val="DefaultParagraphFont"/>
    <w:link w:val="BodyText"/>
    <w:uiPriority w:val="99"/>
    <w:rsid w:val="00A41310"/>
    <w:rPr>
      <w:rFonts w:ascii="Arial" w:eastAsia="Times New Roman" w:hAnsi="Arial" w:cs="Times New Roman"/>
      <w:b/>
      <w:color w:val="000000"/>
      <w:sz w:val="24"/>
      <w:szCs w:val="20"/>
    </w:rPr>
  </w:style>
  <w:style w:type="paragraph" w:styleId="Header">
    <w:name w:val="header"/>
    <w:basedOn w:val="Normal"/>
    <w:link w:val="HeaderChar"/>
    <w:uiPriority w:val="99"/>
    <w:unhideWhenUsed/>
    <w:rsid w:val="00E91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8BE"/>
  </w:style>
  <w:style w:type="paragraph" w:styleId="Footer">
    <w:name w:val="footer"/>
    <w:basedOn w:val="Normal"/>
    <w:link w:val="FooterChar"/>
    <w:uiPriority w:val="99"/>
    <w:unhideWhenUsed/>
    <w:rsid w:val="00E91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8BE"/>
  </w:style>
  <w:style w:type="paragraph" w:customStyle="1" w:styleId="Default">
    <w:name w:val="Default"/>
    <w:rsid w:val="00A922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24A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A8A"/>
    <w:rPr>
      <w:rFonts w:ascii="Segoe UI" w:hAnsi="Segoe UI" w:cs="Segoe UI"/>
      <w:sz w:val="18"/>
      <w:szCs w:val="18"/>
    </w:rPr>
  </w:style>
  <w:style w:type="character" w:styleId="CommentReference">
    <w:name w:val="annotation reference"/>
    <w:basedOn w:val="DefaultParagraphFont"/>
    <w:uiPriority w:val="99"/>
    <w:semiHidden/>
    <w:unhideWhenUsed/>
    <w:rsid w:val="00DC1C73"/>
    <w:rPr>
      <w:sz w:val="16"/>
      <w:szCs w:val="16"/>
    </w:rPr>
  </w:style>
  <w:style w:type="paragraph" w:styleId="CommentText">
    <w:name w:val="annotation text"/>
    <w:basedOn w:val="Normal"/>
    <w:link w:val="CommentTextChar"/>
    <w:uiPriority w:val="99"/>
    <w:semiHidden/>
    <w:unhideWhenUsed/>
    <w:rsid w:val="00DC1C73"/>
    <w:pPr>
      <w:spacing w:line="240" w:lineRule="auto"/>
    </w:pPr>
    <w:rPr>
      <w:sz w:val="20"/>
      <w:szCs w:val="20"/>
    </w:rPr>
  </w:style>
  <w:style w:type="character" w:customStyle="1" w:styleId="CommentTextChar">
    <w:name w:val="Comment Text Char"/>
    <w:basedOn w:val="DefaultParagraphFont"/>
    <w:link w:val="CommentText"/>
    <w:uiPriority w:val="99"/>
    <w:semiHidden/>
    <w:rsid w:val="00DC1C73"/>
    <w:rPr>
      <w:sz w:val="20"/>
      <w:szCs w:val="20"/>
    </w:rPr>
  </w:style>
  <w:style w:type="paragraph" w:styleId="CommentSubject">
    <w:name w:val="annotation subject"/>
    <w:basedOn w:val="CommentText"/>
    <w:next w:val="CommentText"/>
    <w:link w:val="CommentSubjectChar"/>
    <w:uiPriority w:val="99"/>
    <w:semiHidden/>
    <w:unhideWhenUsed/>
    <w:rsid w:val="00DC1C73"/>
    <w:rPr>
      <w:b/>
      <w:bCs/>
    </w:rPr>
  </w:style>
  <w:style w:type="character" w:customStyle="1" w:styleId="CommentSubjectChar">
    <w:name w:val="Comment Subject Char"/>
    <w:basedOn w:val="CommentTextChar"/>
    <w:link w:val="CommentSubject"/>
    <w:uiPriority w:val="99"/>
    <w:semiHidden/>
    <w:rsid w:val="00DC1C73"/>
    <w:rPr>
      <w:b/>
      <w:bCs/>
      <w:sz w:val="20"/>
      <w:szCs w:val="20"/>
    </w:rPr>
  </w:style>
  <w:style w:type="paragraph" w:customStyle="1" w:styleId="BriefingNotes">
    <w:name w:val="BriefingNotes"/>
    <w:basedOn w:val="Normal"/>
    <w:uiPriority w:val="99"/>
    <w:rsid w:val="003B4502"/>
    <w:pPr>
      <w:spacing w:after="0" w:line="240" w:lineRule="auto"/>
    </w:pPr>
    <w:rPr>
      <w:rFonts w:ascii="Geneva" w:eastAsia="Times New Roman" w:hAnsi="Geneva" w:cs="Times New Roman"/>
      <w:noProof/>
      <w:sz w:val="24"/>
      <w:szCs w:val="20"/>
      <w:lang w:val="en-GB"/>
    </w:rPr>
  </w:style>
  <w:style w:type="table" w:styleId="TableGrid">
    <w:name w:val="Table Grid"/>
    <w:basedOn w:val="TableNormal"/>
    <w:uiPriority w:val="39"/>
    <w:rsid w:val="003D2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730896">
      <w:bodyDiv w:val="1"/>
      <w:marLeft w:val="0"/>
      <w:marRight w:val="0"/>
      <w:marTop w:val="0"/>
      <w:marBottom w:val="0"/>
      <w:divBdr>
        <w:top w:val="none" w:sz="0" w:space="0" w:color="auto"/>
        <w:left w:val="none" w:sz="0" w:space="0" w:color="auto"/>
        <w:bottom w:val="none" w:sz="0" w:space="0" w:color="auto"/>
        <w:right w:val="none" w:sz="0" w:space="0" w:color="auto"/>
      </w:divBdr>
    </w:div>
    <w:div w:id="906495295">
      <w:bodyDiv w:val="1"/>
      <w:marLeft w:val="0"/>
      <w:marRight w:val="0"/>
      <w:marTop w:val="0"/>
      <w:marBottom w:val="0"/>
      <w:divBdr>
        <w:top w:val="none" w:sz="0" w:space="0" w:color="auto"/>
        <w:left w:val="none" w:sz="0" w:space="0" w:color="auto"/>
        <w:bottom w:val="none" w:sz="0" w:space="0" w:color="auto"/>
        <w:right w:val="none" w:sz="0" w:space="0" w:color="auto"/>
      </w:divBdr>
    </w:div>
    <w:div w:id="1408382699">
      <w:bodyDiv w:val="1"/>
      <w:marLeft w:val="0"/>
      <w:marRight w:val="0"/>
      <w:marTop w:val="0"/>
      <w:marBottom w:val="0"/>
      <w:divBdr>
        <w:top w:val="none" w:sz="0" w:space="0" w:color="auto"/>
        <w:left w:val="none" w:sz="0" w:space="0" w:color="auto"/>
        <w:bottom w:val="none" w:sz="0" w:space="0" w:color="auto"/>
        <w:right w:val="none" w:sz="0" w:space="0" w:color="auto"/>
      </w:divBdr>
    </w:div>
    <w:div w:id="1516383366">
      <w:bodyDiv w:val="1"/>
      <w:marLeft w:val="0"/>
      <w:marRight w:val="0"/>
      <w:marTop w:val="0"/>
      <w:marBottom w:val="0"/>
      <w:divBdr>
        <w:top w:val="none" w:sz="0" w:space="0" w:color="auto"/>
        <w:left w:val="none" w:sz="0" w:space="0" w:color="auto"/>
        <w:bottom w:val="none" w:sz="0" w:space="0" w:color="auto"/>
        <w:right w:val="none" w:sz="0" w:space="0" w:color="auto"/>
      </w:divBdr>
    </w:div>
    <w:div w:id="1702168994">
      <w:bodyDiv w:val="1"/>
      <w:marLeft w:val="0"/>
      <w:marRight w:val="0"/>
      <w:marTop w:val="0"/>
      <w:marBottom w:val="0"/>
      <w:divBdr>
        <w:top w:val="none" w:sz="0" w:space="0" w:color="auto"/>
        <w:left w:val="none" w:sz="0" w:space="0" w:color="auto"/>
        <w:bottom w:val="none" w:sz="0" w:space="0" w:color="auto"/>
        <w:right w:val="none" w:sz="0" w:space="0" w:color="auto"/>
      </w:divBdr>
    </w:div>
    <w:div w:id="194754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Province of British Columbia</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 Joanne MCF:EX</dc:creator>
  <cp:lastModifiedBy>May, Cheryl MCF:EX</cp:lastModifiedBy>
  <cp:revision>2</cp:revision>
  <dcterms:created xsi:type="dcterms:W3CDTF">2019-04-02T17:53:00Z</dcterms:created>
  <dcterms:modified xsi:type="dcterms:W3CDTF">2019-04-02T17:53:00Z</dcterms:modified>
</cp:coreProperties>
</file>